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C0" w:rsidRPr="00C51DC0" w:rsidRDefault="00C51DC0" w:rsidP="00C51DC0">
      <w:r w:rsidRPr="00C51DC0">
        <w:t>JAVNI NARUČITELJ: DOM ZA PSIHIČKI BOLESNE ODRASLE OSOBE JALŽABET</w:t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</w:r>
      <w:r w:rsidRPr="00C51DC0">
        <w:tab/>
        <w:t xml:space="preserve">                     KOLODVORSKA 1, 42203 JALŽABET, OIB: 40551161324</w:t>
      </w:r>
    </w:p>
    <w:p w:rsidR="00C51DC0" w:rsidRPr="00C51DC0" w:rsidRDefault="00C51DC0" w:rsidP="00C51DC0">
      <w:r w:rsidRPr="00C51DC0">
        <w:tab/>
        <w:t xml:space="preserve">PREGLED SKLOPLJENIH UGOVORA O JAVNOJ NABAVI I NJIHOVOG IZVRŠENJA U 2011. GODINI                  </w:t>
      </w:r>
    </w:p>
    <w:p w:rsidR="00C51DC0" w:rsidRPr="00C51DC0" w:rsidRDefault="00C51DC0" w:rsidP="00C51DC0">
      <w:pPr>
        <w:numPr>
          <w:ilvl w:val="0"/>
          <w:numId w:val="1"/>
        </w:numPr>
      </w:pPr>
      <w:r w:rsidRPr="00C51DC0">
        <w:t>Ugovor o javnoj nabavi</w:t>
      </w:r>
    </w:p>
    <w:p w:rsidR="00C51DC0" w:rsidRPr="00C51DC0" w:rsidRDefault="00C51DC0" w:rsidP="00C51DC0"/>
    <w:tbl>
      <w:tblPr>
        <w:tblStyle w:val="Reetkatablice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127"/>
        <w:gridCol w:w="1559"/>
        <w:gridCol w:w="1417"/>
        <w:gridCol w:w="1843"/>
        <w:gridCol w:w="1985"/>
        <w:gridCol w:w="1559"/>
        <w:gridCol w:w="2268"/>
      </w:tblGrid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Redni broj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Evidencijski broj nabave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Vrsta provedenog postupka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Datum sklapanja ugovora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Iznos sklopljenog ugovora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(bez PDV-a)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Razdoblje na koje je sklopljen ugovor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Naziv ponuditelja s kojim  je sklopljen ugovor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Datum konačnog izvršenja ugovora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Konačni ukupni iznos plaćen temeljem ugovora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(sa PDV-om)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 -01/11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Otvoreni postupak javne nabave (čl.13.st.7. 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120.800,00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PIK VRBOVEC d.d.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Vrbovec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51.614,30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2.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MV-02/11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Otvoreni postupak javne nabave (čl.13.st.7. 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102.400,00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12 mjeseci 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EKOS PEKARNICA d.o.o. 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81.944,62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3.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MV-03/11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15.800,00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13.460,93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4.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MV-04/11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Pregovarački postupak javne nabave bez </w:t>
            </w:r>
            <w:r w:rsidRPr="00C51DC0">
              <w:lastRenderedPageBreak/>
              <w:t>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21.500,00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12 mjeseci 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15.444,68  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 xml:space="preserve">5.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MV-05/11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25.000,00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20.119,44 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6.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MV-06/11.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14.300.00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13.449,79   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7.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MV-07/11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14.500,00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9.102,35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8.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MV-08/11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17.000,00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14.632,29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9.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MV-9/11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Pregovarački postupak javne nabave bez </w:t>
            </w:r>
            <w:r w:rsidRPr="00C51DC0">
              <w:lastRenderedPageBreak/>
              <w:t>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19.500,00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13.060,32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10.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MV-10/11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44.000,00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39.583,87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11.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MV-11/</w:t>
            </w:r>
            <w:proofErr w:type="spellStart"/>
            <w:r w:rsidRPr="00C51DC0">
              <w:t>11</w:t>
            </w:r>
            <w:proofErr w:type="spellEnd"/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 36.000,00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PG Franciska </w:t>
            </w:r>
            <w:proofErr w:type="spellStart"/>
            <w:r w:rsidRPr="00C51DC0">
              <w:t>Papec</w:t>
            </w:r>
            <w:proofErr w:type="spellEnd"/>
          </w:p>
          <w:p w:rsidR="00C51DC0" w:rsidRPr="00C51DC0" w:rsidRDefault="00C51DC0" w:rsidP="00C51DC0">
            <w:pPr>
              <w:spacing w:after="200" w:line="276" w:lineRule="auto"/>
            </w:pPr>
            <w:proofErr w:type="spellStart"/>
            <w:r w:rsidRPr="00C51DC0">
              <w:t>Cargovec</w:t>
            </w:r>
            <w:proofErr w:type="spellEnd"/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18.788,00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MV-12/11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 15.000,00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9.579,53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13.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MV-13/11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40.000,00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TRGOPLOD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Zagreb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35.845,20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14.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MV-14/11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Pregovarački postupak javne nabave bez </w:t>
            </w:r>
            <w:r w:rsidRPr="00C51DC0">
              <w:lastRenderedPageBreak/>
              <w:t>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 45.000,00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TRGOPLOD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Zagreb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32.823,70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 xml:space="preserve">15. 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MV-15/11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 11.000,00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9.952,05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16.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MV-16/11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   9.000,00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LEDO </w:t>
            </w:r>
            <w:proofErr w:type="spellStart"/>
            <w:r w:rsidRPr="00C51DC0">
              <w:t>d.d</w:t>
            </w:r>
            <w:proofErr w:type="spellEnd"/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Zagreb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7.483,94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17.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MV-17/11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08.04.2011.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 27.000,00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LEDO </w:t>
            </w:r>
            <w:proofErr w:type="spellStart"/>
            <w:r w:rsidRPr="00C51DC0">
              <w:t>d.d</w:t>
            </w:r>
            <w:proofErr w:type="spellEnd"/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Zagreb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10.04.2012.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22.114,48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18.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MV-18/11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  <w:p w:rsidR="00C51DC0" w:rsidRPr="00C51DC0" w:rsidRDefault="00C51DC0" w:rsidP="00C51DC0">
            <w:pPr>
              <w:spacing w:after="200" w:line="276" w:lineRule="auto"/>
            </w:pP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72.000,00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VINDIJA d.d.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54.466,32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19.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MV-19/11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Pregovarački postupak javne </w:t>
            </w:r>
            <w:r w:rsidRPr="00C51DC0">
              <w:lastRenderedPageBreak/>
              <w:t>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 xml:space="preserve"> 31.03.2011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40.000,00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VINDIJA d.d.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29.487,12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20.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MV-20/11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20.000,00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DI WAGNER d.o.o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Zagreb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13.356,58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21.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MV-21/11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54.000,00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8.940,08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22.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MV-22/11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31.03.2011.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45.000,00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29.519,22 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23.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MV-23/11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15.000,00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TP VARAŽDIN d.o.o.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3.928,14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24.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MV-24/11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Pregovarački postupak javne </w:t>
            </w:r>
            <w:r w:rsidRPr="00C51DC0">
              <w:lastRenderedPageBreak/>
              <w:t>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17.000,00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VETERINARSKA STANICA d.d. 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13.019,70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lastRenderedPageBreak/>
              <w:t>25.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MV-25/11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30.000,00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12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PPP PLANTAK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Varaždin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31.03.2012.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4.744,60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26.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MV-26/11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04.04.2011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11.400,00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8 mjeseci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NARODNE NOVINE d.d.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Zagreb</w:t>
            </w:r>
          </w:p>
          <w:p w:rsidR="00C51DC0" w:rsidRPr="00C51DC0" w:rsidRDefault="00C51DC0" w:rsidP="00C51DC0">
            <w:pPr>
              <w:spacing w:after="200" w:line="276" w:lineRule="auto"/>
            </w:pP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31.12.2011.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7.861,31</w:t>
            </w:r>
          </w:p>
        </w:tc>
      </w:tr>
      <w:tr w:rsidR="00C51DC0" w:rsidRPr="00C51DC0" w:rsidTr="00B112C7">
        <w:tc>
          <w:tcPr>
            <w:tcW w:w="70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27.</w:t>
            </w:r>
          </w:p>
        </w:tc>
        <w:tc>
          <w:tcPr>
            <w:tcW w:w="1701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MV-31/11</w:t>
            </w:r>
          </w:p>
        </w:tc>
        <w:tc>
          <w:tcPr>
            <w:tcW w:w="212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Pregovarački postupak javne nabave bez prethodne objave (čl.16.st.2.t 2.ZJN)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25.07.2011</w:t>
            </w:r>
          </w:p>
        </w:tc>
        <w:tc>
          <w:tcPr>
            <w:tcW w:w="1417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 54.000,00</w:t>
            </w:r>
          </w:p>
        </w:tc>
        <w:tc>
          <w:tcPr>
            <w:tcW w:w="1843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 xml:space="preserve"> 4 mjeseca</w:t>
            </w:r>
          </w:p>
        </w:tc>
        <w:tc>
          <w:tcPr>
            <w:tcW w:w="1985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MI VAJDA d.d.</w:t>
            </w:r>
          </w:p>
          <w:p w:rsidR="00C51DC0" w:rsidRPr="00C51DC0" w:rsidRDefault="00C51DC0" w:rsidP="00C51DC0">
            <w:pPr>
              <w:spacing w:after="200" w:line="276" w:lineRule="auto"/>
            </w:pPr>
            <w:r w:rsidRPr="00C51DC0">
              <w:t>Čakovec</w:t>
            </w:r>
          </w:p>
        </w:tc>
        <w:tc>
          <w:tcPr>
            <w:tcW w:w="1559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30.11.2011.</w:t>
            </w:r>
          </w:p>
        </w:tc>
        <w:tc>
          <w:tcPr>
            <w:tcW w:w="2268" w:type="dxa"/>
          </w:tcPr>
          <w:p w:rsidR="00C51DC0" w:rsidRPr="00C51DC0" w:rsidRDefault="00C51DC0" w:rsidP="00C51DC0">
            <w:pPr>
              <w:spacing w:after="200" w:line="276" w:lineRule="auto"/>
            </w:pPr>
            <w:r w:rsidRPr="00C51DC0">
              <w:t>69.941,01</w:t>
            </w:r>
          </w:p>
        </w:tc>
      </w:tr>
    </w:tbl>
    <w:p w:rsidR="00C51DC0" w:rsidRPr="00C51DC0" w:rsidRDefault="00C51DC0" w:rsidP="00C51DC0"/>
    <w:p w:rsidR="00C51DC0" w:rsidRPr="00C51DC0" w:rsidRDefault="00C51DC0" w:rsidP="00C51DC0"/>
    <w:p w:rsidR="006247B6" w:rsidRDefault="006247B6">
      <w:bookmarkStart w:id="0" w:name="_GoBack"/>
      <w:bookmarkEnd w:id="0"/>
    </w:p>
    <w:sectPr w:rsidR="006247B6" w:rsidSect="004139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5EE2"/>
    <w:multiLevelType w:val="hybridMultilevel"/>
    <w:tmpl w:val="C4F6A2C2"/>
    <w:lvl w:ilvl="0" w:tplc="4BBE48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C0"/>
    <w:rsid w:val="006247B6"/>
    <w:rsid w:val="00C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1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1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djovic</dc:creator>
  <cp:lastModifiedBy>djovic</cp:lastModifiedBy>
  <cp:revision>1</cp:revision>
  <dcterms:created xsi:type="dcterms:W3CDTF">2012-12-07T10:49:00Z</dcterms:created>
  <dcterms:modified xsi:type="dcterms:W3CDTF">2012-12-07T10:49:00Z</dcterms:modified>
</cp:coreProperties>
</file>